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</w:rPr>
        <w:t>：</w:t>
      </w:r>
    </w:p>
    <w:p>
      <w:pPr>
        <w:kinsoku/>
        <w:autoSpaceDE/>
        <w:autoSpaceDN/>
        <w:adjustRightInd/>
        <w:snapToGrid/>
        <w:spacing w:after="159" w:afterLines="50" w:line="440" w:lineRule="exact"/>
        <w:jc w:val="center"/>
        <w:textAlignment w:val="auto"/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山东省高等学校课程联盟在线教学优秀案例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eastAsia="zh-CN"/>
        </w:rPr>
        <w:t>和优秀共享课程推荐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汇总表</w:t>
      </w:r>
    </w:p>
    <w:p>
      <w:pPr>
        <w:kinsoku/>
        <w:autoSpaceDE/>
        <w:autoSpaceDN/>
        <w:adjustRightInd/>
        <w:snapToGrid/>
        <w:spacing w:after="159" w:afterLines="50" w:line="440" w:lineRule="exact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学院（盖章）：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1352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962"/>
        <w:gridCol w:w="1351"/>
        <w:gridCol w:w="1305"/>
        <w:gridCol w:w="1581"/>
        <w:gridCol w:w="2625"/>
        <w:gridCol w:w="5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962" w:type="dxa"/>
            <w:vAlign w:val="center"/>
          </w:tcPr>
          <w:p>
            <w:pPr>
              <w:spacing w:line="320" w:lineRule="exact"/>
              <w:ind w:firstLine="122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z w:val="23"/>
                <w:szCs w:val="23"/>
              </w:rPr>
              <w:t>类别</w:t>
            </w:r>
          </w:p>
        </w:tc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案例类别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案例</w:t>
            </w: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  <w:lang w:val="en-US" w:eastAsia="zh-CN"/>
              </w:rPr>
              <w:t>/课程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负责人</w:t>
            </w:r>
          </w:p>
        </w:tc>
        <w:tc>
          <w:tcPr>
            <w:tcW w:w="158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  <w:t>手</w:t>
            </w:r>
            <w:r>
              <w:rPr>
                <w:rFonts w:ascii="黑体" w:hAnsi="黑体" w:eastAsia="黑体" w:cs="黑体"/>
                <w:color w:val="auto"/>
                <w:spacing w:val="2"/>
                <w:sz w:val="23"/>
                <w:szCs w:val="23"/>
              </w:rPr>
              <w:t>机</w:t>
            </w:r>
            <w:r>
              <w:rPr>
                <w:rFonts w:hint="eastAsia" w:ascii="黑体" w:hAnsi="黑体" w:eastAsia="黑体" w:cs="黑体"/>
                <w:color w:val="auto"/>
                <w:spacing w:val="2"/>
                <w:sz w:val="23"/>
                <w:szCs w:val="23"/>
              </w:rPr>
              <w:t>号</w:t>
            </w:r>
          </w:p>
        </w:tc>
        <w:tc>
          <w:tcPr>
            <w:tcW w:w="262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  <w:t>成员</w:t>
            </w:r>
          </w:p>
        </w:tc>
        <w:tc>
          <w:tcPr>
            <w:tcW w:w="51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  <w:t>案例</w:t>
            </w: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eastAsia="zh-CN"/>
              </w:rPr>
              <w:t>（课程）</w:t>
            </w:r>
            <w:r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  <w:t>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620" w:hRule="atLeast"/>
          <w:jc w:val="center"/>
        </w:trPr>
        <w:tc>
          <w:tcPr>
            <w:tcW w:w="588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例</w:t>
            </w:r>
          </w:p>
        </w:tc>
        <w:tc>
          <w:tcPr>
            <w:tcW w:w="962" w:type="dxa"/>
            <w:vAlign w:val="center"/>
          </w:tcPr>
          <w:p>
            <w:pPr>
              <w:spacing w:line="225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案例</w:t>
            </w:r>
          </w:p>
        </w:tc>
        <w:tc>
          <w:tcPr>
            <w:tcW w:w="1351" w:type="dxa"/>
            <w:vAlign w:val="center"/>
          </w:tcPr>
          <w:p>
            <w:pPr>
              <w:spacing w:line="225" w:lineRule="auto"/>
              <w:jc w:val="center"/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3"/>
                <w:szCs w:val="23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3"/>
                <w:szCs w:val="23"/>
              </w:rPr>
              <w:t>类</w:t>
            </w:r>
          </w:p>
        </w:tc>
        <w:tc>
          <w:tcPr>
            <w:tcW w:w="130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</w:rPr>
              <w:t>王**</w:t>
            </w:r>
          </w:p>
        </w:tc>
        <w:tc>
          <w:tcPr>
            <w:tcW w:w="1581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  <w:t>137XXXXX</w:t>
            </w:r>
            <w:r>
              <w:rPr>
                <w:rFonts w:ascii="仿宋" w:hAnsi="仿宋" w:eastAsia="仿宋" w:cs="仿宋"/>
                <w:color w:val="auto"/>
                <w:spacing w:val="2"/>
                <w:sz w:val="23"/>
                <w:szCs w:val="23"/>
              </w:rPr>
              <w:t>XXX</w:t>
            </w:r>
          </w:p>
        </w:tc>
        <w:tc>
          <w:tcPr>
            <w:tcW w:w="262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5115" w:type="dxa"/>
            <w:vAlign w:val="center"/>
          </w:tcPr>
          <w:p>
            <w:pPr>
              <w:spacing w:before="221" w:line="192" w:lineRule="auto"/>
              <w:ind w:firstLine="142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588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示例</w:t>
            </w:r>
          </w:p>
        </w:tc>
        <w:tc>
          <w:tcPr>
            <w:tcW w:w="962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</w:rPr>
              <w:t>案例</w:t>
            </w:r>
          </w:p>
        </w:tc>
        <w:tc>
          <w:tcPr>
            <w:tcW w:w="1351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</w:rPr>
              <w:t>课程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</w:rPr>
              <w:t>类（混合式/在线类）</w:t>
            </w:r>
          </w:p>
        </w:tc>
        <w:tc>
          <w:tcPr>
            <w:tcW w:w="130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</w:rPr>
              <w:t>王**</w:t>
            </w:r>
          </w:p>
        </w:tc>
        <w:tc>
          <w:tcPr>
            <w:tcW w:w="1581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  <w:t>137XXXXX</w:t>
            </w:r>
            <w:r>
              <w:rPr>
                <w:rFonts w:ascii="仿宋" w:hAnsi="仿宋" w:eastAsia="仿宋" w:cs="仿宋"/>
                <w:color w:val="auto"/>
                <w:spacing w:val="2"/>
                <w:sz w:val="23"/>
                <w:szCs w:val="23"/>
              </w:rPr>
              <w:t>XXX</w:t>
            </w:r>
          </w:p>
        </w:tc>
        <w:tc>
          <w:tcPr>
            <w:tcW w:w="262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511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示例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</w:rPr>
              <w:t>共享课程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</w:rPr>
              <w:t>王**</w:t>
            </w:r>
          </w:p>
        </w:tc>
        <w:tc>
          <w:tcPr>
            <w:tcW w:w="1581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  <w:t>137XXXXX</w:t>
            </w:r>
            <w:r>
              <w:rPr>
                <w:rFonts w:ascii="仿宋" w:hAnsi="仿宋" w:eastAsia="仿宋" w:cs="仿宋"/>
                <w:color w:val="auto"/>
                <w:spacing w:val="2"/>
                <w:sz w:val="23"/>
                <w:szCs w:val="23"/>
              </w:rPr>
              <w:t>XXX</w:t>
            </w:r>
          </w:p>
        </w:tc>
        <w:tc>
          <w:tcPr>
            <w:tcW w:w="262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exact"/>
        <w:rPr>
          <w:rFonts w:ascii="宋体" w:hAnsi="宋体" w:eastAsia="宋体" w:cs="宋体"/>
          <w:color w:val="auto"/>
          <w:spacing w:val="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备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注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:</w:t>
      </w:r>
      <w:r>
        <w:rPr>
          <w:rFonts w:hint="eastAsia" w:ascii="宋体" w:hAnsi="宋体" w:eastAsia="宋体" w:cs="宋体"/>
          <w:color w:val="auto"/>
        </w:rPr>
        <w:t>“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案例类别”列“共享课程”无需填写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GY1ZTNjNjU0NGNlZDJjNzY0NTA3NWIzNDUzZWIifQ=="/>
  </w:docVars>
  <w:rsids>
    <w:rsidRoot w:val="636D0FA6"/>
    <w:rsid w:val="0B6E54AF"/>
    <w:rsid w:val="470F40B0"/>
    <w:rsid w:val="636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193</Characters>
  <Lines>0</Lines>
  <Paragraphs>0</Paragraphs>
  <ScaleCrop>false</ScaleCrop>
  <LinksUpToDate>false</LinksUpToDate>
  <CharactersWithSpaces>258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2022-05-17T01:15:00Z</dcterms:created>
  <dc:creator>A.LuluᏴ࿆Ꭿ࿆Ᏼ࿆Ꮍ妈</dc:creator>
  <cp:lastModifiedBy>Administrator</cp:lastModifiedBy>
  <dcterms:modified xsi:type="dcterms:W3CDTF">2022-05-31T09:18:03Z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B33EB663FF0D455C8093AD6E84DD1234</vt:lpwstr>
  </property>
</Properties>
</file>